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894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4 Нефтеюганского судебного района Ханты – 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 – 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Киселева Николая Ивановича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7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2rplc-1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работающей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 ООО «</w:t>
      </w:r>
      <w:r>
        <w:rPr>
          <w:rFonts w:ascii="Times New Roman" w:eastAsia="Times New Roman" w:hAnsi="Times New Roman" w:cs="Times New Roman"/>
          <w:sz w:val="27"/>
          <w:szCs w:val="27"/>
        </w:rPr>
        <w:t>Спецтехстрой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 проживающе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28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Style w:val="cat-PassportDatagrp-23rplc-1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6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5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Style w:val="cat-UserDefinedgrp-29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 w:line="259" w:lineRule="auto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совершении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Киселев Н.И.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 ООО «</w:t>
      </w:r>
      <w:r>
        <w:rPr>
          <w:rFonts w:ascii="Times New Roman" w:eastAsia="Times New Roman" w:hAnsi="Times New Roman" w:cs="Times New Roman"/>
          <w:sz w:val="27"/>
          <w:szCs w:val="27"/>
        </w:rPr>
        <w:t>Спецтехстрой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расположенного по адресу: ХМАО-Югра, г. Нефтеюганск, </w:t>
      </w:r>
      <w:r>
        <w:rPr>
          <w:rFonts w:ascii="Times New Roman" w:eastAsia="Times New Roman" w:hAnsi="Times New Roman" w:cs="Times New Roman"/>
          <w:sz w:val="27"/>
          <w:szCs w:val="27"/>
        </w:rPr>
        <w:t>11а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-н, </w:t>
      </w:r>
      <w:r>
        <w:rPr>
          <w:rFonts w:ascii="Times New Roman" w:eastAsia="Times New Roman" w:hAnsi="Times New Roman" w:cs="Times New Roman"/>
          <w:sz w:val="27"/>
          <w:szCs w:val="27"/>
        </w:rPr>
        <w:t>45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дом, 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России № 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7"/>
          <w:szCs w:val="27"/>
        </w:rPr>
        <w:t>налоговую декларацию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налогу на прибыль за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месяцев</w:t>
      </w:r>
      <w:r>
        <w:rPr>
          <w:rFonts w:ascii="Times New Roman" w:eastAsia="Times New Roman" w:hAnsi="Times New Roman" w:cs="Times New Roman"/>
          <w:sz w:val="27"/>
          <w:szCs w:val="27"/>
        </w:rPr>
        <w:t>, квартальный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представления налоговой декларации по налогу на прибыль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12 месяцев,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квартальный </w:t>
      </w:r>
      <w:r>
        <w:rPr>
          <w:rFonts w:ascii="Times New Roman" w:eastAsia="Times New Roman" w:hAnsi="Times New Roman" w:cs="Times New Roman"/>
          <w:sz w:val="27"/>
          <w:szCs w:val="27"/>
        </w:rPr>
        <w:t>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24:00 часов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>, фактически декларация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налогу на прибыль за 12 месяцев, представлена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>, то есть позже установленного законодательством срока.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Киселев Н.И.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извещенн</w:t>
      </w:r>
      <w:r>
        <w:rPr>
          <w:rFonts w:ascii="Times New Roman" w:eastAsia="Times New Roman" w:hAnsi="Times New Roman" w:cs="Times New Roman"/>
          <w:sz w:val="27"/>
          <w:szCs w:val="27"/>
        </w:rPr>
        <w:t>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судом о времени и месте рассмотрения дела надлежащим образом, 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>, о причинах неявки суду не сообщил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Киселева Н.И.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отсутствие.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Киселев Н.И.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30rplc-3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Киселев Н.И.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представил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7"/>
          <w:szCs w:val="27"/>
        </w:rPr>
        <w:t>России № 7 по Ханты-Мансийскому автономному округу – Югре, налоговую декларацию по налогу на прибыль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12 месяцев, квартальный </w:t>
      </w:r>
      <w:r>
        <w:rPr>
          <w:rFonts w:ascii="Times New Roman" w:eastAsia="Times New Roman" w:hAnsi="Times New Roman" w:cs="Times New Roman"/>
          <w:sz w:val="27"/>
          <w:szCs w:val="27"/>
        </w:rPr>
        <w:t>2023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квитанцией о приеме налоговой декларации (расчета), бухгалтерской (финансовой) отчетности в электронной форме, согласно которой налоговая декларация по налогу на прибыль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12 месяцев, квартальный </w:t>
      </w:r>
      <w:r>
        <w:rPr>
          <w:rFonts w:ascii="Times New Roman" w:eastAsia="Times New Roman" w:hAnsi="Times New Roman" w:cs="Times New Roman"/>
          <w:sz w:val="27"/>
          <w:szCs w:val="27"/>
        </w:rPr>
        <w:t>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46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выпиской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6 ст. 80 Налогового кодекса РФ, н</w:t>
      </w:r>
      <w:r>
        <w:rPr>
          <w:rFonts w:ascii="Times New Roman" w:eastAsia="Times New Roman" w:hAnsi="Times New Roman" w:cs="Times New Roman"/>
          <w:sz w:val="27"/>
          <w:szCs w:val="27"/>
        </w:rPr>
        <w:t>алоговая декларация (расчет) представляется в установленные законодательством о налогах и сборах сроки.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п. 3, 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289 Налогового кодекса 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>алогоплательщики представляют налоговые декларации не позднее 25 календарных дней со дня окончания соответствующего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dst10267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отчетного периода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а по итогам </w:t>
      </w:r>
      <w:r>
        <w:rPr>
          <w:rFonts w:ascii="Times New Roman" w:eastAsia="Times New Roman" w:hAnsi="Times New Roman" w:cs="Times New Roman"/>
          <w:sz w:val="27"/>
          <w:szCs w:val="27"/>
        </w:rPr>
        <w:t>налогового периода не позднее 25 марта года,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1, 2 ст. 285 НК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отчетным периодом по налогу на прибыль организаций признается 1 квартал, полугодие и 9 месяцев календарного года, а налоговым периодом – календарный год.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Киселева Н.И.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Киселева Н.И.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что ранее </w:t>
      </w:r>
      <w:r>
        <w:rPr>
          <w:rFonts w:ascii="Times New Roman" w:eastAsia="Times New Roman" w:hAnsi="Times New Roman" w:cs="Times New Roman"/>
          <w:sz w:val="27"/>
          <w:szCs w:val="27"/>
        </w:rPr>
        <w:t>Киселев Н.И.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ответственности, судья считает возможным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предупреждени</w:t>
      </w:r>
      <w:r>
        <w:rPr>
          <w:rFonts w:ascii="Times New Roman" w:eastAsia="Times New Roman" w:hAnsi="Times New Roman" w:cs="Times New Roman"/>
          <w:sz w:val="27"/>
          <w:szCs w:val="27"/>
        </w:rPr>
        <w:t>я.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 ООО «</w:t>
      </w:r>
      <w:r>
        <w:rPr>
          <w:rFonts w:ascii="Times New Roman" w:eastAsia="Times New Roman" w:hAnsi="Times New Roman" w:cs="Times New Roman"/>
          <w:sz w:val="27"/>
          <w:szCs w:val="27"/>
        </w:rPr>
        <w:t>Спецтехстрой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Киселева Николая Ивановича </w:t>
      </w:r>
      <w:r>
        <w:rPr>
          <w:rFonts w:ascii="Times New Roman" w:eastAsia="Times New Roman" w:hAnsi="Times New Roman" w:cs="Times New Roman"/>
          <w:sz w:val="27"/>
          <w:szCs w:val="27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предупреждения.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11">
    <w:name w:val="cat-ExternalSystemDefined grp-27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UserDefinedgrp-28rplc-14">
    <w:name w:val="cat-UserDefined grp-28 rplc-14"/>
    <w:basedOn w:val="DefaultParagraphFont"/>
  </w:style>
  <w:style w:type="character" w:customStyle="1" w:styleId="cat-PassportDatagrp-23rplc-16">
    <w:name w:val="cat-PassportData grp-23 rplc-16"/>
    <w:basedOn w:val="DefaultParagraphFont"/>
  </w:style>
  <w:style w:type="character" w:customStyle="1" w:styleId="cat-ExternalSystemDefinedgrp-26rplc-17">
    <w:name w:val="cat-ExternalSystemDefined grp-26 rplc-17"/>
    <w:basedOn w:val="DefaultParagraphFont"/>
  </w:style>
  <w:style w:type="character" w:customStyle="1" w:styleId="cat-ExternalSystemDefinedgrp-25rplc-18">
    <w:name w:val="cat-ExternalSystemDefined grp-25 rplc-18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30rplc-33">
    <w:name w:val="cat-UserDefined grp-30 rplc-33"/>
    <w:basedOn w:val="DefaultParagraphFont"/>
  </w:style>
  <w:style w:type="character" w:customStyle="1" w:styleId="cat-UserDefinedgrp-31rplc-46">
    <w:name w:val="cat-UserDefined grp-31 rplc-46"/>
    <w:basedOn w:val="DefaultParagraphFont"/>
  </w:style>
  <w:style w:type="character" w:customStyle="1" w:styleId="cat-UserDefinedgrp-32rplc-49">
    <w:name w:val="cat-UserDefined grp-32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7019/45b71f91f6ca44eb1272308f45bae5877228bc8f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